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PROGRAM PRAĆENJA EKOLOŠKOG I HEMIJSKOG STATUSA POVRŠINSKIH VODA NA TERITORIJI GRADA NIŠA ZA 2021/2022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  <w:lang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  <w:lang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    SASTAVU,KVALITETU I EKOLOŠKOM STATUSU   POVRŠINSKIH VODA NA TERITORIJI GRADA NIŠA ZA IV UZORKOVANJE    2022.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  <w:lang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  <w:lang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13F81">
        <w:rPr>
          <w:rFonts w:ascii="Times New Roman" w:hAnsi="Times New Roman" w:cs="Times New Roman"/>
          <w:b/>
          <w:sz w:val="24"/>
          <w:szCs w:val="24"/>
          <w:lang/>
        </w:rPr>
        <w:lastRenderedPageBreak/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/>
        </w:rPr>
        <w:t>Uzorkovanje je vršeno standardnim metodama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  <w:lang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9E4531" w:rsidRPr="009E4531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2D453B"/>
    <w:rsid w:val="00331073"/>
    <w:rsid w:val="00346469"/>
    <w:rsid w:val="003863BA"/>
    <w:rsid w:val="003D319D"/>
    <w:rsid w:val="004C18BC"/>
    <w:rsid w:val="006D2760"/>
    <w:rsid w:val="009E4531"/>
    <w:rsid w:val="00E13F81"/>
    <w:rsid w:val="00E6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404</Words>
  <Characters>2304</Characters>
  <Application>Microsoft Office Word</Application>
  <DocSecurity>0</DocSecurity>
  <Lines>19</Lines>
  <Paragraphs>5</Paragraphs>
  <ScaleCrop>false</ScaleCrop>
  <Company>Grizli777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dcterms:created xsi:type="dcterms:W3CDTF">2022-03-09T09:54:00Z</dcterms:created>
  <dcterms:modified xsi:type="dcterms:W3CDTF">2022-03-09T10:10:00Z</dcterms:modified>
</cp:coreProperties>
</file>